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BE" w:rsidRPr="00233BFF" w:rsidRDefault="008975BE" w:rsidP="008975BE">
      <w:pPr>
        <w:spacing w:after="0"/>
        <w:jc w:val="center"/>
        <w:rPr>
          <w:b/>
          <w:sz w:val="24"/>
        </w:rPr>
      </w:pPr>
      <w:r w:rsidRPr="00233BFF">
        <w:rPr>
          <w:b/>
          <w:sz w:val="24"/>
        </w:rPr>
        <w:t>ERASMUS+</w:t>
      </w:r>
    </w:p>
    <w:p w:rsidR="008975BE" w:rsidRPr="00233BFF" w:rsidRDefault="008975BE" w:rsidP="008975BE">
      <w:pPr>
        <w:spacing w:after="0"/>
        <w:jc w:val="center"/>
        <w:rPr>
          <w:b/>
          <w:sz w:val="24"/>
        </w:rPr>
      </w:pPr>
      <w:r w:rsidRPr="00233BFF">
        <w:rPr>
          <w:b/>
          <w:sz w:val="24"/>
        </w:rPr>
        <w:t>ANA EYLEM 1:</w:t>
      </w:r>
    </w:p>
    <w:p w:rsidR="008975BE" w:rsidRPr="00233BFF" w:rsidRDefault="008975BE" w:rsidP="008975BE">
      <w:pPr>
        <w:spacing w:after="0"/>
        <w:jc w:val="center"/>
        <w:rPr>
          <w:b/>
          <w:sz w:val="24"/>
        </w:rPr>
      </w:pPr>
      <w:r w:rsidRPr="00233BFF">
        <w:rPr>
          <w:b/>
          <w:sz w:val="24"/>
        </w:rPr>
        <w:t>BİREYLERİN ÖĞRENME HAREKETLİLİĞİ</w:t>
      </w:r>
    </w:p>
    <w:p w:rsidR="008975BE" w:rsidRPr="00233BFF" w:rsidRDefault="008975BE" w:rsidP="009320C9">
      <w:pPr>
        <w:spacing w:after="0"/>
        <w:jc w:val="center"/>
        <w:rPr>
          <w:b/>
          <w:sz w:val="28"/>
        </w:rPr>
      </w:pPr>
      <w:r w:rsidRPr="00233BFF">
        <w:rPr>
          <w:b/>
          <w:sz w:val="28"/>
        </w:rPr>
        <w:t xml:space="preserve">Programla İlişkili Olmayan Üçüncü Ülkeler ile Yükseköğretim </w:t>
      </w:r>
      <w:bookmarkStart w:id="0" w:name="_GoBack"/>
      <w:bookmarkEnd w:id="0"/>
      <w:r w:rsidRPr="00233BFF">
        <w:rPr>
          <w:b/>
          <w:sz w:val="28"/>
        </w:rPr>
        <w:t>Öğrenci ve</w:t>
      </w:r>
    </w:p>
    <w:p w:rsidR="008975BE" w:rsidRPr="00233BFF" w:rsidRDefault="008975BE" w:rsidP="008975BE">
      <w:pPr>
        <w:spacing w:after="0"/>
        <w:jc w:val="center"/>
        <w:rPr>
          <w:b/>
          <w:sz w:val="28"/>
        </w:rPr>
      </w:pPr>
      <w:r w:rsidRPr="00233BFF">
        <w:rPr>
          <w:b/>
          <w:sz w:val="28"/>
        </w:rPr>
        <w:t>Personel H</w:t>
      </w:r>
      <w:r w:rsidR="00647DE5">
        <w:rPr>
          <w:b/>
          <w:sz w:val="28"/>
        </w:rPr>
        <w:t>areketliliği KA171 BİLGİ PAKETİ</w:t>
      </w:r>
    </w:p>
    <w:p w:rsidR="008975BE" w:rsidRDefault="008975BE" w:rsidP="008975BE"/>
    <w:p w:rsidR="008975BE" w:rsidRPr="008975BE" w:rsidRDefault="008975BE" w:rsidP="008975BE">
      <w:pPr>
        <w:rPr>
          <w:b/>
        </w:rPr>
      </w:pPr>
      <w:r w:rsidRPr="008975BE">
        <w:rPr>
          <w:b/>
        </w:rPr>
        <w:t>PROGRAMIN AMACI VE KAPSAMI</w:t>
      </w:r>
    </w:p>
    <w:p w:rsidR="008975BE" w:rsidRDefault="008975BE" w:rsidP="008975BE">
      <w:pPr>
        <w:jc w:val="both"/>
      </w:pPr>
      <w:r>
        <w:t xml:space="preserve">KA171, </w:t>
      </w:r>
      <w:proofErr w:type="spellStart"/>
      <w:r>
        <w:t>Erasmus</w:t>
      </w:r>
      <w:proofErr w:type="spellEnd"/>
      <w:r>
        <w:t>+ Programı kapsamında Avrupa’daki yükseköğretim kurumları ile programla ilişkili olmayan üçüncü ülkelerdeki yükseköğretim kurumları arasında öğrenci ve personel hareketliliğini destekleyen bir faaliyet türüdür.</w:t>
      </w:r>
      <w:r w:rsidR="00A0235D">
        <w:t xml:space="preserve"> KA171 projeleri, AB dış politika fonları tarafından desteklenen hareketlilik projeleridir. Bu kapsamda sağlanan fonlar 12 farklı bölge için 12 farklı bütçe zarfına bölünmüş ve her bütçe zarfının boyutu AB dış politika önceliklerine göre AB tarafından belirlenmektedir.</w:t>
      </w:r>
    </w:p>
    <w:p w:rsidR="008975BE" w:rsidRDefault="008975BE" w:rsidP="008975BE">
      <w:r>
        <w:t>Programın temel amaçları şunlardır:</w:t>
      </w:r>
    </w:p>
    <w:p w:rsidR="008975BE" w:rsidRDefault="008975BE" w:rsidP="008975BE">
      <w:r>
        <w:t>• Uluslararası akademik iş birliklerini güçlendirmek,</w:t>
      </w:r>
    </w:p>
    <w:p w:rsidR="008975BE" w:rsidRDefault="008975BE" w:rsidP="008975BE">
      <w:r>
        <w:t>• Öğrenci ve personelin akademik, kültürel ve profesyonel gelişimine katkı sağlamak,</w:t>
      </w:r>
    </w:p>
    <w:p w:rsidR="008975BE" w:rsidRDefault="008975BE" w:rsidP="008975BE">
      <w:r>
        <w:t xml:space="preserve">• Yükseköğretim kurumlarının </w:t>
      </w:r>
      <w:proofErr w:type="spellStart"/>
      <w:r>
        <w:t>uluslararasılaşma</w:t>
      </w:r>
      <w:proofErr w:type="spellEnd"/>
      <w:r>
        <w:t xml:space="preserve"> kapasitesini artırmak,</w:t>
      </w:r>
    </w:p>
    <w:p w:rsidR="008975BE" w:rsidRDefault="008975BE" w:rsidP="008975BE">
      <w:r>
        <w:t>• Karşılıklı deneyim paylaşımı yoluyla kurumsal kaliteyi geliştirmek.</w:t>
      </w:r>
    </w:p>
    <w:p w:rsidR="00A0235D" w:rsidRDefault="008975BE" w:rsidP="00A0235D">
      <w:r>
        <w:t>KA171 kapsamında hareketliliklerin karşılıklı olması zorunlu değildir; odak noktası, kalite temelli ve sürdürülebilir ortaklıklar geliştirilmesidir.</w:t>
      </w:r>
      <w:r w:rsidR="00A0235D">
        <w:t xml:space="preserve"> </w:t>
      </w:r>
    </w:p>
    <w:p w:rsidR="00A0235D" w:rsidRDefault="00A0235D" w:rsidP="00A0235D">
      <w:pPr>
        <w:jc w:val="both"/>
      </w:pPr>
      <w:r>
        <w:t xml:space="preserve">Projelere, sadece ECHE sahibi yükseköğretim kurumları ve koordinatör kuruluşu ECHE sahibi yükseköğretim kurumu olan hareketlilik </w:t>
      </w:r>
      <w:proofErr w:type="gramStart"/>
      <w:r>
        <w:t>konsorsiyumları</w:t>
      </w:r>
      <w:proofErr w:type="gramEnd"/>
      <w:r>
        <w:t xml:space="preserve"> başvurabilir. Doğası itibariyle KA131 proje tiplerine benzese de kalite değerlendirmesine tabi olması ve proje </w:t>
      </w:r>
      <w:proofErr w:type="gramStart"/>
      <w:r>
        <w:t>bazlı</w:t>
      </w:r>
      <w:proofErr w:type="gramEnd"/>
      <w:r>
        <w:t xml:space="preserve"> faaliyetler olması sebebiyle daha rekabetçi bir yapıya sahiptir.</w:t>
      </w:r>
    </w:p>
    <w:p w:rsidR="00A0235D" w:rsidRDefault="00A0235D" w:rsidP="00A0235D">
      <w:pPr>
        <w:jc w:val="both"/>
      </w:pPr>
      <w:r>
        <w:t xml:space="preserve">Avrupa Komisyonu tarafından yılda sadece 1 defa teklif çağrısına çıkılır ve kurumlar sadece 1 defa ve kurumsal düzeyde (bölümlerin ayrı bir şekilde başvuru yapması mümkün değildir) ilgili kurumun </w:t>
      </w:r>
      <w:proofErr w:type="spellStart"/>
      <w:r>
        <w:t>Erasmus</w:t>
      </w:r>
      <w:proofErr w:type="spellEnd"/>
      <w:r>
        <w:t>+ / Uluslararası Ofisi tarafından başvuru yapabilir.</w:t>
      </w:r>
    </w:p>
    <w:p w:rsidR="00A0235D" w:rsidRDefault="00A0235D" w:rsidP="00A0235D">
      <w:pPr>
        <w:jc w:val="both"/>
      </w:pPr>
      <w:r>
        <w:t>Projenin süresi 36 aydır. Hem giden hem gelen yönlü bütçe başvurusunda bulunulur ve koordinatör kurum tüm faaliyetlerin gerçekleştirilmesinden, raporlanmasından ve fonlanmasından sorumlu olur.</w:t>
      </w:r>
    </w:p>
    <w:p w:rsidR="00A0235D" w:rsidRDefault="00A0235D" w:rsidP="00A0235D">
      <w:pPr>
        <w:jc w:val="both"/>
      </w:pPr>
      <w:r>
        <w:t>Proje kapsamında “Programla İlişkili Olmayan Üçüncü Ülkeler ile Yükseköğretim Öğrenci ve Personel Hareketliliği” olarak iki tip hareketlilik hem gelen hem de giden akışında düzenlenebilir:</w:t>
      </w:r>
    </w:p>
    <w:p w:rsidR="00A0235D" w:rsidRPr="00A0235D" w:rsidRDefault="00A0235D" w:rsidP="00A0235D">
      <w:pPr>
        <w:jc w:val="both"/>
        <w:rPr>
          <w:b/>
        </w:rPr>
      </w:pPr>
      <w:r w:rsidRPr="00A0235D">
        <w:rPr>
          <w:b/>
        </w:rPr>
        <w:t>Öğrenci Hareketlilikleri:</w:t>
      </w:r>
    </w:p>
    <w:p w:rsidR="00A0235D" w:rsidRDefault="00A0235D" w:rsidP="00A0235D">
      <w:pPr>
        <w:jc w:val="both"/>
      </w:pPr>
      <w:r>
        <w:t>Geleneksel öğrenim hareketliliği: 2-12 ay</w:t>
      </w:r>
    </w:p>
    <w:p w:rsidR="00A0235D" w:rsidRDefault="00A0235D" w:rsidP="00A0235D">
      <w:pPr>
        <w:jc w:val="both"/>
      </w:pPr>
      <w:r>
        <w:t>Geleneksel staj hareketliliği: 2-12 ay</w:t>
      </w:r>
    </w:p>
    <w:p w:rsidR="00A0235D" w:rsidRDefault="00A0235D" w:rsidP="00A0235D">
      <w:pPr>
        <w:jc w:val="both"/>
      </w:pPr>
      <w:r>
        <w:lastRenderedPageBreak/>
        <w:t>Kısa süreli doktora hareketliliği (öğrenim ya da staj şeklinde): 5-30 gün</w:t>
      </w:r>
    </w:p>
    <w:p w:rsidR="00A0235D" w:rsidRDefault="00A0235D" w:rsidP="00A0235D">
      <w:pPr>
        <w:jc w:val="both"/>
      </w:pPr>
      <w:r>
        <w:t>Mezuniyet sonrası staj hareketliliği: 2-12 ay (Doktora mezunları için kısa sürelisi “5-30 gün” mümkün)</w:t>
      </w:r>
    </w:p>
    <w:p w:rsidR="00A0235D" w:rsidRDefault="00A0235D" w:rsidP="00A0235D">
      <w:pPr>
        <w:jc w:val="both"/>
      </w:pPr>
      <w:r>
        <w:t>Karma hareketlilikler (fiziksel hareketlilik + sanal hareketlilik): 5-30 gün fiziksel + sanal hareketlilik</w:t>
      </w:r>
    </w:p>
    <w:p w:rsidR="00A0235D" w:rsidRPr="00A0235D" w:rsidRDefault="00A0235D" w:rsidP="00A0235D">
      <w:pPr>
        <w:jc w:val="both"/>
        <w:rPr>
          <w:b/>
        </w:rPr>
      </w:pPr>
      <w:r>
        <w:rPr>
          <w:b/>
        </w:rPr>
        <w:t>Personel Hareketlilikleri:</w:t>
      </w:r>
    </w:p>
    <w:p w:rsidR="00A0235D" w:rsidRPr="00A0235D" w:rsidRDefault="00A0235D" w:rsidP="00A0235D">
      <w:pPr>
        <w:jc w:val="both"/>
        <w:rPr>
          <w:i/>
        </w:rPr>
      </w:pPr>
      <w:r w:rsidRPr="00A0235D">
        <w:rPr>
          <w:i/>
        </w:rPr>
        <w:t>Personel Ders Verme Hareketliliği</w:t>
      </w:r>
    </w:p>
    <w:p w:rsidR="00A0235D" w:rsidRDefault="00A0235D" w:rsidP="00A0235D">
      <w:pPr>
        <w:jc w:val="both"/>
      </w:pPr>
      <w:r>
        <w:t>Yükseköğretim kurumunda görevli akademik personel</w:t>
      </w:r>
    </w:p>
    <w:p w:rsidR="00A0235D" w:rsidRDefault="00A0235D" w:rsidP="00A0235D">
      <w:pPr>
        <w:jc w:val="both"/>
      </w:pPr>
      <w:r>
        <w:t>5 gün‐2 ay (5 gün ardışık olmalıdır) + 2 gün seyahat hibesi</w:t>
      </w:r>
    </w:p>
    <w:p w:rsidR="00A0235D" w:rsidRDefault="00A0235D" w:rsidP="00A0235D">
      <w:pPr>
        <w:jc w:val="both"/>
      </w:pPr>
      <w:r>
        <w:t>1 hafta ve daha kısa süreli hareketliliklerde 8 saat ders verilmesi koşulu bulunmaktadır.</w:t>
      </w:r>
    </w:p>
    <w:p w:rsidR="00A0235D" w:rsidRPr="00A0235D" w:rsidRDefault="00A0235D" w:rsidP="00A0235D">
      <w:pPr>
        <w:jc w:val="both"/>
        <w:rPr>
          <w:i/>
        </w:rPr>
      </w:pPr>
      <w:r w:rsidRPr="00A0235D">
        <w:rPr>
          <w:i/>
        </w:rPr>
        <w:t>Personel Eğitim Alma Hareketliliği</w:t>
      </w:r>
    </w:p>
    <w:p w:rsidR="00A0235D" w:rsidRDefault="00A0235D" w:rsidP="00A0235D">
      <w:pPr>
        <w:jc w:val="both"/>
      </w:pPr>
      <w:r>
        <w:t>Yükseköğretim kurumunda görevli personel (akademik/idari)</w:t>
      </w:r>
    </w:p>
    <w:p w:rsidR="00A0235D" w:rsidRDefault="00A0235D" w:rsidP="00A0235D">
      <w:pPr>
        <w:jc w:val="both"/>
      </w:pPr>
      <w:r>
        <w:t>5 gün‐2 ay (5 gün ardışık olmalıdır) + 2 gün seyahat hibesi</w:t>
      </w:r>
    </w:p>
    <w:p w:rsidR="00A0235D" w:rsidRDefault="00A0235D" w:rsidP="008975BE">
      <w:pPr>
        <w:jc w:val="both"/>
      </w:pPr>
      <w:r>
        <w:t xml:space="preserve">Önemli Not: KA171 projeleri tıpkı KA131 projeleri gibi </w:t>
      </w:r>
      <w:proofErr w:type="spellStart"/>
      <w:r>
        <w:t>Erasmus</w:t>
      </w:r>
      <w:proofErr w:type="spellEnd"/>
      <w:r>
        <w:t xml:space="preserve"> ofisleri tarafından yürütülür. Hem giden hem de gelen yönlü hareketlilikler, </w:t>
      </w:r>
      <w:proofErr w:type="spellStart"/>
      <w:r>
        <w:t>Erasmus</w:t>
      </w:r>
      <w:proofErr w:type="spellEnd"/>
      <w:r>
        <w:t xml:space="preserve"> ofisleri tarafından yönetilir.</w:t>
      </w:r>
    </w:p>
    <w:p w:rsidR="008975BE" w:rsidRPr="008975BE" w:rsidRDefault="008975BE" w:rsidP="008975BE">
      <w:pPr>
        <w:rPr>
          <w:b/>
        </w:rPr>
      </w:pPr>
      <w:r w:rsidRPr="008975BE">
        <w:rPr>
          <w:b/>
        </w:rPr>
        <w:t>HEDEF ÜLKELER VE ÖNCELİKLER</w:t>
      </w:r>
    </w:p>
    <w:p w:rsidR="008975BE" w:rsidRDefault="008975BE" w:rsidP="008975BE">
      <w:pPr>
        <w:jc w:val="both"/>
      </w:pPr>
      <w:r>
        <w:t xml:space="preserve">AB dış politika öncelikleri doğrultusunda Batı Balkanlar, Doğu Ortaklığı, Güney Akdeniz ve </w:t>
      </w:r>
      <w:proofErr w:type="spellStart"/>
      <w:r>
        <w:t>Sahraaltı</w:t>
      </w:r>
      <w:proofErr w:type="spellEnd"/>
      <w:r>
        <w:t xml:space="preserve"> Afrika ülkeleri KA171 fonlamasında öncelikli bölgeler olarak değerlendirilmektedir. KA171 başvurularında her ülke/kurum için net bir gerekçe sunulmalıdır: akademik uyum, stratejik hedeflerle bağlantı, toplumsal etki, sürdürülebilirlik ve kapasite geliştirme. OECD yüksek gelir grubu ülkelerde öğrenci hareketliliği oldukça sınırlı olup öncelik personel hareketliliğidir. Suriye kamu kurumları </w:t>
      </w:r>
      <w:proofErr w:type="spellStart"/>
      <w:r>
        <w:t>Erasmus</w:t>
      </w:r>
      <w:proofErr w:type="spellEnd"/>
      <w:r>
        <w:t>+ kapsamında uygun değildir.</w:t>
      </w:r>
    </w:p>
    <w:p w:rsidR="00E81E09" w:rsidRPr="00E81E09" w:rsidRDefault="00E81E09" w:rsidP="00E81E09">
      <w:pPr>
        <w:jc w:val="both"/>
        <w:rPr>
          <w:u w:val="single"/>
        </w:rPr>
      </w:pPr>
      <w:r w:rsidRPr="00E81E09">
        <w:rPr>
          <w:u w:val="single"/>
        </w:rPr>
        <w:t>KA171 Pro</w:t>
      </w:r>
      <w:r w:rsidRPr="00E81E09">
        <w:rPr>
          <w:u w:val="single"/>
        </w:rPr>
        <w:t xml:space="preserve">jelerinde </w:t>
      </w:r>
      <w:proofErr w:type="spellStart"/>
      <w:r w:rsidRPr="00E81E09">
        <w:rPr>
          <w:u w:val="single"/>
        </w:rPr>
        <w:t>Erasmus</w:t>
      </w:r>
      <w:proofErr w:type="spellEnd"/>
      <w:r w:rsidRPr="00E81E09">
        <w:rPr>
          <w:u w:val="single"/>
        </w:rPr>
        <w:t>+ Öncelikleri:</w:t>
      </w:r>
    </w:p>
    <w:p w:rsidR="00E81E09" w:rsidRPr="00E81E09" w:rsidRDefault="00E81E09" w:rsidP="00E81E09">
      <w:pPr>
        <w:jc w:val="both"/>
        <w:rPr>
          <w:i/>
        </w:rPr>
      </w:pPr>
      <w:r w:rsidRPr="00E81E09">
        <w:rPr>
          <w:i/>
        </w:rPr>
        <w:t>İçerme ve Çeşitlilik</w:t>
      </w:r>
    </w:p>
    <w:p w:rsidR="00E81E09" w:rsidRDefault="00E81E09" w:rsidP="00E81E09">
      <w:pPr>
        <w:jc w:val="both"/>
      </w:pPr>
      <w:r>
        <w:t xml:space="preserve">İçerme ve çeşitlilik stratejisi paralelinde planlama yapılması, </w:t>
      </w:r>
      <w:proofErr w:type="gramStart"/>
      <w:r>
        <w:t>imkanı</w:t>
      </w:r>
      <w:proofErr w:type="gramEnd"/>
      <w:r>
        <w:t xml:space="preserve"> kısıtlı kişilere özel önem vererek, tüm geçmişlerden mevcut ve potansiyel katılımcılara eşit ve adil erişim ve fırsatlar sağlanması, bunlara ilişkin destek mekanizmaları paralelinde ulaşılabilir hedefler belirlenmesi, kısa dönem ve karma </w:t>
      </w:r>
      <w:r>
        <w:t>hareketlilikler planlanması vb.</w:t>
      </w:r>
    </w:p>
    <w:p w:rsidR="00E81E09" w:rsidRPr="00E81E09" w:rsidRDefault="00E81E09" w:rsidP="00E81E09">
      <w:pPr>
        <w:jc w:val="both"/>
        <w:rPr>
          <w:i/>
        </w:rPr>
      </w:pPr>
      <w:r w:rsidRPr="00E81E09">
        <w:rPr>
          <w:i/>
        </w:rPr>
        <w:t>Dijital Dönüşüm</w:t>
      </w:r>
    </w:p>
    <w:p w:rsidR="00E81E09" w:rsidRDefault="00E81E09" w:rsidP="00E81E09">
      <w:pPr>
        <w:jc w:val="both"/>
      </w:pPr>
      <w:r>
        <w:t xml:space="preserve">Sanal bileşeni olan karma hareketlilikler planlanması, dijital araçların kullanımının arttırılması, hareketliliklerde dijital yeteneklerin arttırılmasına </w:t>
      </w:r>
      <w:r>
        <w:t>yönelik planlama vb.</w:t>
      </w:r>
    </w:p>
    <w:p w:rsidR="00E81E09" w:rsidRPr="00E81E09" w:rsidRDefault="00E81E09" w:rsidP="00E81E09">
      <w:pPr>
        <w:jc w:val="both"/>
        <w:rPr>
          <w:i/>
        </w:rPr>
      </w:pPr>
      <w:r w:rsidRPr="00E81E09">
        <w:rPr>
          <w:i/>
        </w:rPr>
        <w:t>Çevre ve İklim Değişikliği İle Mücadele</w:t>
      </w:r>
    </w:p>
    <w:p w:rsidR="00E81E09" w:rsidRDefault="00E81E09" w:rsidP="00E81E09">
      <w:pPr>
        <w:jc w:val="both"/>
      </w:pPr>
      <w:r>
        <w:lastRenderedPageBreak/>
        <w:t>Bu alana ilişkin hareketlilikler planlanması, hareketliliklerde sürdürülebilir ulaşım araçlarının ve yeşil seyahatin teşvik edilmesi, enerji kullanımının azaltılması, sürdürülebilir kalkınma, bu alana ilişkin bilgi v</w:t>
      </w:r>
      <w:r>
        <w:t>e duyarlılığın arttırılması vb.</w:t>
      </w:r>
    </w:p>
    <w:p w:rsidR="00E81E09" w:rsidRPr="00E81E09" w:rsidRDefault="00E81E09" w:rsidP="00E81E09">
      <w:pPr>
        <w:jc w:val="both"/>
        <w:rPr>
          <w:i/>
        </w:rPr>
      </w:pPr>
      <w:r w:rsidRPr="00E81E09">
        <w:rPr>
          <w:i/>
        </w:rPr>
        <w:t>Demokratik Yaşama Katılım, Ortak Değerler ve Sivil Katılım</w:t>
      </w:r>
    </w:p>
    <w:p w:rsidR="00E81E09" w:rsidRDefault="00E81E09" w:rsidP="00E81E09">
      <w:pPr>
        <w:jc w:val="both"/>
      </w:pPr>
      <w:r>
        <w:t xml:space="preserve">AB’ye ve AB’nin ortak değerlerine ilişkin bilgi düzeyinin arttırılması, sosyal, kültürel yeteneklerin, </w:t>
      </w:r>
      <w:proofErr w:type="gramStart"/>
      <w:r>
        <w:t>eleştirel</w:t>
      </w:r>
      <w:proofErr w:type="gramEnd"/>
      <w:r>
        <w:t xml:space="preserve"> düşünmenin ve medya okuryazarlığının geliştirilmesi vb.</w:t>
      </w:r>
    </w:p>
    <w:p w:rsidR="008975BE" w:rsidRPr="00233BFF" w:rsidRDefault="008975BE" w:rsidP="008975BE">
      <w:pPr>
        <w:rPr>
          <w:b/>
        </w:rPr>
      </w:pPr>
      <w:r w:rsidRPr="00233BFF">
        <w:rPr>
          <w:b/>
        </w:rPr>
        <w:t>Bölge ve Hareketlilik Kısıtlamaları (Personel ve Doktora Düzeyi):</w:t>
      </w:r>
    </w:p>
    <w:p w:rsidR="00880281" w:rsidRDefault="008975BE" w:rsidP="00233BFF">
      <w:pPr>
        <w:jc w:val="both"/>
      </w:pPr>
      <w:proofErr w:type="spellStart"/>
      <w:r>
        <w:t>Erasmus</w:t>
      </w:r>
      <w:proofErr w:type="spellEnd"/>
      <w:r>
        <w:t>+ KA171 kapsamında 12 bölgeye ayrılan ortak ülkelere yönelik hareketlilik planlamasında belirli kısıtlamalar bulunmaktadır. Aşağıdaki tabloda, hibeli personel ve doktora düzeyinde öğrenci gönderebileceğimiz ülkeler altı çizili olarak belirtilmiştir. Bu ülkeler için lisans ve yüksek lisans öğrenci hareketliliği uygun değildir; yalnızca personel ve doktora düzeyinde öğrenci hareketliliği desteklenmektedir.</w:t>
      </w:r>
    </w:p>
    <w:p w:rsidR="008975BE" w:rsidRDefault="008975BE" w:rsidP="008975BE">
      <w:r w:rsidRPr="008975BE">
        <w:rPr>
          <w:noProof/>
          <w:lang w:eastAsia="tr-TR"/>
        </w:rPr>
        <w:drawing>
          <wp:inline distT="0" distB="0" distL="0" distR="0" wp14:anchorId="20F9B65E" wp14:editId="7ACFAC81">
            <wp:extent cx="5730737" cy="3177816"/>
            <wp:effectExtent l="0" t="0" r="381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0737" cy="3177816"/>
                    </a:xfrm>
                    <a:prstGeom prst="rect">
                      <a:avLst/>
                    </a:prstGeom>
                  </pic:spPr>
                </pic:pic>
              </a:graphicData>
            </a:graphic>
          </wp:inline>
        </w:drawing>
      </w:r>
    </w:p>
    <w:p w:rsidR="00A0235D" w:rsidRDefault="00A0235D" w:rsidP="008975BE"/>
    <w:p w:rsidR="008975BE" w:rsidRPr="00233BFF" w:rsidRDefault="008975BE" w:rsidP="008975BE">
      <w:pPr>
        <w:rPr>
          <w:b/>
        </w:rPr>
      </w:pPr>
      <w:r w:rsidRPr="00233BFF">
        <w:rPr>
          <w:b/>
        </w:rPr>
        <w:t>BAŞVURU SÜRECİ</w:t>
      </w:r>
    </w:p>
    <w:p w:rsidR="008975BE" w:rsidRDefault="008975BE" w:rsidP="008975BE">
      <w:pPr>
        <w:spacing w:after="0"/>
        <w:jc w:val="both"/>
      </w:pPr>
      <w:proofErr w:type="spellStart"/>
      <w:r>
        <w:t>Erasmus</w:t>
      </w:r>
      <w:proofErr w:type="spellEnd"/>
      <w:r>
        <w:t>+ KA171 Projeleri, Üniversitemiz adına Uluslararası</w:t>
      </w:r>
      <w:r w:rsidR="00233BFF">
        <w:t xml:space="preserve"> Ofis </w:t>
      </w:r>
      <w:r>
        <w:t>tarafından tek bir başvuru şeklinde sisteme yüklenmektedir. Akademik ve idari personelimiz bireysel olarak başvuru yapamaz. Bu nedenle tüm proje önerilerinin Uluslararası Ofis’e iletilmesi gerekmektedir.</w:t>
      </w:r>
    </w:p>
    <w:p w:rsidR="008975BE" w:rsidRDefault="008975BE" w:rsidP="008975BE">
      <w:pPr>
        <w:spacing w:after="0"/>
        <w:jc w:val="both"/>
      </w:pPr>
    </w:p>
    <w:p w:rsidR="008975BE" w:rsidRDefault="008975BE" w:rsidP="008975BE">
      <w:pPr>
        <w:spacing w:after="0"/>
        <w:jc w:val="both"/>
      </w:pPr>
      <w:r>
        <w:t>KA171 proje başvuruları her yıl Şubat ayında sisteme yüklenmekte olup, sonuçlar genellikle Ağustos ayında açıklanmaktadır. Proje önerisi gönderen personelimiz, sonuçlar ve bütçe dağılımları kesinleştikten sonra detaylı şekilde bilgilendirilecektir.</w:t>
      </w:r>
    </w:p>
    <w:p w:rsidR="008975BE" w:rsidRDefault="008975BE" w:rsidP="008975BE">
      <w:pPr>
        <w:spacing w:after="0"/>
        <w:jc w:val="both"/>
      </w:pPr>
    </w:p>
    <w:p w:rsidR="008975BE" w:rsidRDefault="008975BE" w:rsidP="008975BE">
      <w:pPr>
        <w:spacing w:after="0"/>
        <w:jc w:val="both"/>
      </w:pPr>
      <w:r>
        <w:t xml:space="preserve">Proje önerisi hazırlarken bölge seçimini şu </w:t>
      </w:r>
      <w:proofErr w:type="gramStart"/>
      <w:r>
        <w:t>kriterlere</w:t>
      </w:r>
      <w:proofErr w:type="gramEnd"/>
      <w:r>
        <w:t xml:space="preserve"> göre yapmanız tavsiye edilir:</w:t>
      </w:r>
    </w:p>
    <w:p w:rsidR="008975BE" w:rsidRDefault="008975BE" w:rsidP="008975BE">
      <w:pPr>
        <w:spacing w:after="0"/>
        <w:jc w:val="both"/>
      </w:pPr>
      <w:r>
        <w:lastRenderedPageBreak/>
        <w:t>• Bölgesel AB öncelikleri</w:t>
      </w:r>
    </w:p>
    <w:p w:rsidR="008975BE" w:rsidRDefault="008975BE" w:rsidP="008975BE">
      <w:pPr>
        <w:spacing w:after="0"/>
        <w:jc w:val="both"/>
      </w:pPr>
      <w:r>
        <w:t>• Dezavantajlı öğrenci oranları</w:t>
      </w:r>
    </w:p>
    <w:p w:rsidR="008975BE" w:rsidRDefault="008975BE" w:rsidP="008975BE">
      <w:pPr>
        <w:spacing w:after="0"/>
        <w:jc w:val="both"/>
      </w:pPr>
      <w:r>
        <w:t>• Kurumun akademik ve araştırma kapasitesi</w:t>
      </w:r>
    </w:p>
    <w:p w:rsidR="008975BE" w:rsidRDefault="008975BE" w:rsidP="008975BE">
      <w:pPr>
        <w:spacing w:after="0"/>
        <w:jc w:val="both"/>
      </w:pPr>
      <w:r>
        <w:t>• Mevcut veya potansiyel ortakların niteliği</w:t>
      </w:r>
    </w:p>
    <w:p w:rsidR="008975BE" w:rsidRDefault="008975BE" w:rsidP="008975BE">
      <w:pPr>
        <w:spacing w:after="0"/>
        <w:jc w:val="both"/>
      </w:pPr>
      <w:r>
        <w:t>• Sürdürülebilir iş birliği potansiyeli</w:t>
      </w:r>
    </w:p>
    <w:p w:rsidR="00C0240F" w:rsidRDefault="008975BE" w:rsidP="00C0240F">
      <w:pPr>
        <w:spacing w:after="0"/>
        <w:jc w:val="both"/>
      </w:pPr>
      <w:r>
        <w:t>• Ortak kurumun projeye kurumsal taahhüdü</w:t>
      </w:r>
    </w:p>
    <w:p w:rsidR="00C0240F" w:rsidRDefault="00C0240F" w:rsidP="00C0240F">
      <w:pPr>
        <w:spacing w:after="0"/>
        <w:jc w:val="both"/>
      </w:pPr>
    </w:p>
    <w:p w:rsidR="00C0240F" w:rsidRPr="00C0240F" w:rsidRDefault="00C0240F" w:rsidP="008975BE">
      <w:pPr>
        <w:rPr>
          <w:rFonts w:cstheme="minorHAnsi"/>
        </w:rPr>
      </w:pPr>
      <w:r>
        <w:rPr>
          <w:rFonts w:eastAsia="Times New Roman" w:cstheme="minorHAnsi"/>
          <w:color w:val="37393A"/>
          <w:sz w:val="23"/>
          <w:szCs w:val="23"/>
          <w:lang w:eastAsia="tr-TR"/>
        </w:rPr>
        <w:t xml:space="preserve">Projeye </w:t>
      </w:r>
      <w:proofErr w:type="gramStart"/>
      <w:r>
        <w:rPr>
          <w:rFonts w:eastAsia="Times New Roman" w:cstheme="minorHAnsi"/>
          <w:color w:val="37393A"/>
          <w:sz w:val="23"/>
          <w:szCs w:val="23"/>
          <w:lang w:eastAsia="tr-TR"/>
        </w:rPr>
        <w:t>da</w:t>
      </w:r>
      <w:r w:rsidRPr="00C0240F">
        <w:rPr>
          <w:rFonts w:eastAsia="Times New Roman" w:cstheme="minorHAnsi"/>
          <w:color w:val="37393A"/>
          <w:sz w:val="23"/>
          <w:szCs w:val="23"/>
          <w:lang w:eastAsia="tr-TR"/>
        </w:rPr>
        <w:t>hil</w:t>
      </w:r>
      <w:proofErr w:type="gramEnd"/>
      <w:r w:rsidRPr="00C0240F">
        <w:rPr>
          <w:rFonts w:eastAsia="Times New Roman" w:cstheme="minorHAnsi"/>
          <w:color w:val="37393A"/>
          <w:sz w:val="23"/>
          <w:szCs w:val="23"/>
          <w:lang w:eastAsia="tr-TR"/>
        </w:rPr>
        <w:t xml:space="preserve"> olmak isteyen personelimizin </w:t>
      </w:r>
      <w:r w:rsidRPr="00C0240F">
        <w:rPr>
          <w:rFonts w:eastAsia="Times New Roman" w:cstheme="minorHAnsi"/>
          <w:b/>
          <w:color w:val="37393A"/>
          <w:sz w:val="23"/>
          <w:szCs w:val="23"/>
          <w:lang w:eastAsia="tr-TR"/>
        </w:rPr>
        <w:t>KA171 Proje Hazırlık Formunu doldurmaları</w:t>
      </w:r>
      <w:r w:rsidRPr="00C0240F">
        <w:rPr>
          <w:rFonts w:eastAsia="Times New Roman" w:cstheme="minorHAnsi"/>
          <w:color w:val="37393A"/>
          <w:sz w:val="23"/>
          <w:szCs w:val="23"/>
          <w:lang w:eastAsia="tr-TR"/>
        </w:rPr>
        <w:t xml:space="preserve"> ve iş birliği kurulması planlanan karşı kurumlara ait </w:t>
      </w:r>
      <w:r>
        <w:rPr>
          <w:rFonts w:eastAsia="Times New Roman" w:cstheme="minorHAnsi"/>
          <w:color w:val="37393A"/>
          <w:sz w:val="23"/>
          <w:szCs w:val="23"/>
          <w:lang w:eastAsia="tr-TR"/>
        </w:rPr>
        <w:t xml:space="preserve">bilgilerin </w:t>
      </w:r>
      <w:r w:rsidRPr="00C0240F">
        <w:rPr>
          <w:rFonts w:eastAsia="Times New Roman" w:cstheme="minorHAnsi"/>
          <w:b/>
          <w:color w:val="37393A"/>
          <w:sz w:val="23"/>
          <w:szCs w:val="23"/>
          <w:lang w:eastAsia="tr-TR"/>
        </w:rPr>
        <w:t xml:space="preserve">KA171 Partner </w:t>
      </w:r>
      <w:proofErr w:type="spellStart"/>
      <w:r w:rsidRPr="00C0240F">
        <w:rPr>
          <w:rFonts w:eastAsia="Times New Roman" w:cstheme="minorHAnsi"/>
          <w:b/>
          <w:color w:val="37393A"/>
          <w:sz w:val="23"/>
          <w:szCs w:val="23"/>
          <w:lang w:eastAsia="tr-TR"/>
        </w:rPr>
        <w:t>Institution</w:t>
      </w:r>
      <w:proofErr w:type="spellEnd"/>
      <w:r w:rsidRPr="00C0240F">
        <w:rPr>
          <w:rFonts w:eastAsia="Times New Roman" w:cstheme="minorHAnsi"/>
          <w:b/>
          <w:color w:val="37393A"/>
          <w:sz w:val="23"/>
          <w:szCs w:val="23"/>
          <w:lang w:eastAsia="tr-TR"/>
        </w:rPr>
        <w:t xml:space="preserve"> Information </w:t>
      </w:r>
      <w:proofErr w:type="spellStart"/>
      <w:r w:rsidRPr="00C0240F">
        <w:rPr>
          <w:rFonts w:eastAsia="Times New Roman" w:cstheme="minorHAnsi"/>
          <w:b/>
          <w:color w:val="37393A"/>
          <w:sz w:val="23"/>
          <w:szCs w:val="23"/>
          <w:lang w:eastAsia="tr-TR"/>
        </w:rPr>
        <w:t>Sheet</w:t>
      </w:r>
      <w:proofErr w:type="spellEnd"/>
      <w:r w:rsidRPr="00C0240F">
        <w:rPr>
          <w:rFonts w:eastAsia="Times New Roman" w:cstheme="minorHAnsi"/>
          <w:b/>
          <w:color w:val="37393A"/>
          <w:sz w:val="23"/>
          <w:szCs w:val="23"/>
          <w:lang w:eastAsia="tr-TR"/>
        </w:rPr>
        <w:t>*</w:t>
      </w:r>
      <w:r w:rsidRPr="00C0240F">
        <w:rPr>
          <w:rFonts w:eastAsia="Times New Roman" w:cstheme="minorHAnsi"/>
          <w:color w:val="37393A"/>
          <w:sz w:val="23"/>
          <w:szCs w:val="23"/>
          <w:lang w:eastAsia="tr-TR"/>
        </w:rPr>
        <w:t xml:space="preserve"> </w:t>
      </w:r>
      <w:r>
        <w:rPr>
          <w:rFonts w:eastAsia="Times New Roman" w:cstheme="minorHAnsi"/>
          <w:color w:val="37393A"/>
          <w:sz w:val="23"/>
          <w:szCs w:val="23"/>
          <w:lang w:eastAsia="tr-TR"/>
        </w:rPr>
        <w:t>belgesi içerisinde yer alması sağlanmalıdır</w:t>
      </w:r>
      <w:r w:rsidRPr="00C0240F">
        <w:rPr>
          <w:rFonts w:eastAsia="Times New Roman" w:cstheme="minorHAnsi"/>
          <w:color w:val="37393A"/>
          <w:sz w:val="23"/>
          <w:szCs w:val="23"/>
          <w:lang w:eastAsia="tr-TR"/>
        </w:rPr>
        <w:t>.</w:t>
      </w:r>
    </w:p>
    <w:p w:rsidR="00C0240F" w:rsidRPr="00C0240F" w:rsidRDefault="00C0240F" w:rsidP="00C0240F">
      <w:pPr>
        <w:rPr>
          <w:sz w:val="24"/>
        </w:rPr>
      </w:pPr>
      <w:r w:rsidRPr="00C0240F">
        <w:rPr>
          <w:sz w:val="24"/>
        </w:rPr>
        <w:t>Formların</w:t>
      </w:r>
      <w:r w:rsidR="008975BE" w:rsidRPr="00C0240F">
        <w:rPr>
          <w:sz w:val="24"/>
        </w:rPr>
        <w:t xml:space="preserve"> </w:t>
      </w:r>
      <w:r w:rsidRPr="00C0240F">
        <w:rPr>
          <w:b/>
          <w:sz w:val="24"/>
        </w:rPr>
        <w:t>30 Ocak 2026</w:t>
      </w:r>
      <w:r w:rsidRPr="00C0240F">
        <w:rPr>
          <w:sz w:val="24"/>
        </w:rPr>
        <w:t xml:space="preserve"> tarihine kadar </w:t>
      </w:r>
      <w:hyperlink r:id="rId6" w:history="1">
        <w:r w:rsidR="008975BE" w:rsidRPr="00C0240F">
          <w:rPr>
            <w:rStyle w:val="Kpr"/>
            <w:sz w:val="24"/>
          </w:rPr>
          <w:t>erasmus@cag.edu.tr</w:t>
        </w:r>
      </w:hyperlink>
      <w:r w:rsidRPr="00C0240F">
        <w:rPr>
          <w:sz w:val="24"/>
        </w:rPr>
        <w:t xml:space="preserve">  adresine gönderilmesi beklenmektedir. </w:t>
      </w:r>
    </w:p>
    <w:p w:rsidR="008975BE" w:rsidRDefault="008975BE" w:rsidP="008975BE">
      <w:r>
        <w:t xml:space="preserve"> </w:t>
      </w:r>
    </w:p>
    <w:sectPr w:rsidR="00897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BE"/>
    <w:rsid w:val="00233BFF"/>
    <w:rsid w:val="00647DE5"/>
    <w:rsid w:val="00880281"/>
    <w:rsid w:val="008975BE"/>
    <w:rsid w:val="009320C9"/>
    <w:rsid w:val="00A0235D"/>
    <w:rsid w:val="00C0240F"/>
    <w:rsid w:val="00E81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75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75BE"/>
    <w:rPr>
      <w:rFonts w:ascii="Tahoma" w:hAnsi="Tahoma" w:cs="Tahoma"/>
      <w:sz w:val="16"/>
      <w:szCs w:val="16"/>
    </w:rPr>
  </w:style>
  <w:style w:type="character" w:styleId="Kpr">
    <w:name w:val="Hyperlink"/>
    <w:basedOn w:val="VarsaylanParagrafYazTipi"/>
    <w:uiPriority w:val="99"/>
    <w:unhideWhenUsed/>
    <w:rsid w:val="008975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975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75BE"/>
    <w:rPr>
      <w:rFonts w:ascii="Tahoma" w:hAnsi="Tahoma" w:cs="Tahoma"/>
      <w:sz w:val="16"/>
      <w:szCs w:val="16"/>
    </w:rPr>
  </w:style>
  <w:style w:type="character" w:styleId="Kpr">
    <w:name w:val="Hyperlink"/>
    <w:basedOn w:val="VarsaylanParagrafYazTipi"/>
    <w:uiPriority w:val="99"/>
    <w:unhideWhenUsed/>
    <w:rsid w:val="00897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2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rasmus@cag.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967</Words>
  <Characters>5518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GUR</dc:creator>
  <cp:lastModifiedBy>Duygu GUR</cp:lastModifiedBy>
  <cp:revision>7</cp:revision>
  <dcterms:created xsi:type="dcterms:W3CDTF">2026-01-05T09:06:00Z</dcterms:created>
  <dcterms:modified xsi:type="dcterms:W3CDTF">2026-01-06T08:18:00Z</dcterms:modified>
</cp:coreProperties>
</file>